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5.png" ContentType="image/png"/>
  <Override PartName="/word/media/image3.jpeg" ContentType="image/jpeg"/>
  <Override PartName="/word/media/image4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center"/>
        <w:rPr>
          <w:rFonts w:ascii="Verdana" w:hAnsi="Verdana" w:cs="Arial"/>
          <w:b/>
          <w:b/>
          <w:i/>
          <w:i/>
          <w:color w:val="0000FF"/>
          <w:lang w:val="gl-ES"/>
        </w:rPr>
      </w:pPr>
      <w:r>
        <w:rPr>
          <w:rFonts w:cs="Arial" w:ascii="Verdana" w:hAnsi="Verdana"/>
          <w:b/>
          <w:sz w:val="20"/>
          <w:szCs w:val="20"/>
          <w:lang w:val="gl-ES"/>
        </w:rPr>
        <w:t xml:space="preserve">PRESCRIPCIÓNS TÉCNICAS QUE DEBEN CUMPRIR OS PRODUTOS NAS MÁQUINAS EXPEDEDORAS DE ALIMENTOS INSTALADAS EN CALQUERA EDIFICIO DA XUNTA DE GALICIA </w:t>
      </w:r>
    </w:p>
    <w:p>
      <w:pPr>
        <w:pStyle w:val="Normal"/>
        <w:spacing w:lineRule="auto" w:line="360"/>
        <w:rPr>
          <w:rFonts w:ascii="Verdana" w:hAnsi="Verdana" w:cs="Arial"/>
          <w:b/>
          <w:b/>
          <w:sz w:val="20"/>
          <w:szCs w:val="20"/>
          <w:lang w:val="gl-ES"/>
        </w:rPr>
      </w:pPr>
      <w:r>
        <w:rPr>
          <w:rFonts w:cs="Arial" w:ascii="Verdana" w:hAnsi="Verdana"/>
          <w:b/>
          <w:sz w:val="20"/>
          <w:szCs w:val="20"/>
          <w:lang w:val="gl-ES"/>
        </w:rPr>
        <w:t>PRIMEIRA:</w:t>
      </w:r>
    </w:p>
    <w:p>
      <w:pPr>
        <w:pStyle w:val="Normal"/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Todos os produtos (por porción envasada) deben cumprir as seguintes condicións(ver a etiqueta nutricional):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  <w:t xml:space="preserve">O </w:t>
      </w:r>
      <w:r>
        <w:rPr>
          <w:rFonts w:ascii="Verdana" w:hAnsi="Verdana"/>
          <w:b/>
          <w:color w:val="333333"/>
          <w:sz w:val="19"/>
          <w:szCs w:val="19"/>
          <w:lang w:val="gl-ES"/>
        </w:rPr>
        <w:t>valor enerxético</w:t>
      </w:r>
      <w:r>
        <w:rPr>
          <w:rFonts w:ascii="Verdana" w:hAnsi="Verdana"/>
          <w:color w:val="333333"/>
          <w:sz w:val="19"/>
          <w:szCs w:val="19"/>
          <w:lang w:val="gl-ES"/>
        </w:rPr>
        <w:t xml:space="preserve"> máximo será de 200-220 quilocalorías</w:t>
      </w:r>
      <w:r>
        <w:rPr>
          <w:rFonts w:ascii="Verdana" w:hAnsi="Verdana"/>
          <w:color w:val="333333"/>
          <w:sz w:val="19"/>
          <w:szCs w:val="19"/>
          <w:vertAlign w:val="superscript"/>
          <w:lang w:val="gl-ES"/>
        </w:rPr>
        <w:t>1</w:t>
      </w:r>
      <w:r>
        <w:rPr>
          <w:rFonts w:ascii="Verdana" w:hAnsi="Verdana"/>
          <w:color w:val="333333"/>
          <w:sz w:val="19"/>
          <w:szCs w:val="19"/>
          <w:lang w:val="gl-ES"/>
        </w:rPr>
        <w:t xml:space="preserve">. 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  <w:t>É recomendable que a enerxía se reparta do seguinte xeito:</w:t>
      </w:r>
    </w:p>
    <w:p>
      <w:pPr>
        <w:pStyle w:val="Normal"/>
        <w:numPr>
          <w:ilvl w:val="1"/>
          <w:numId w:val="1"/>
        </w:numPr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  <w:t xml:space="preserve">70 quilocalorías como máximo procederán da </w:t>
      </w:r>
      <w:r>
        <w:rPr>
          <w:rFonts w:ascii="Verdana" w:hAnsi="Verdana"/>
          <w:b/>
          <w:color w:val="333333"/>
          <w:sz w:val="19"/>
          <w:szCs w:val="19"/>
          <w:lang w:val="gl-ES"/>
        </w:rPr>
        <w:t>graxa total</w:t>
      </w:r>
      <w:r>
        <w:rPr>
          <w:rFonts w:ascii="Verdana" w:hAnsi="Verdana"/>
          <w:color w:val="333333"/>
          <w:sz w:val="19"/>
          <w:szCs w:val="19"/>
          <w:lang w:val="gl-ES"/>
        </w:rPr>
        <w:t>, das que un máximo de 20 quilocalorías serán graxas saturadas (isto equivale a unha cantidade de graxa menos ou igual a 7.8g e non mais de 2.2g de graxas saturadas)</w:t>
      </w:r>
      <w:r>
        <w:rPr>
          <w:rFonts w:ascii="Verdana" w:hAnsi="Verdana"/>
          <w:color w:val="333333"/>
          <w:sz w:val="19"/>
          <w:szCs w:val="19"/>
          <w:vertAlign w:val="superscript"/>
          <w:lang w:val="gl-ES"/>
        </w:rPr>
        <w:t>2</w:t>
      </w:r>
      <w:r>
        <w:rPr>
          <w:rFonts w:ascii="Verdana" w:hAnsi="Verdana"/>
          <w:color w:val="333333"/>
          <w:sz w:val="19"/>
          <w:szCs w:val="19"/>
          <w:lang w:val="gl-ES"/>
        </w:rPr>
        <w:t xml:space="preserve">. Este límite non se aplicará ás froitas secas sen graxas engadidas, xa que se trata de graxa presente en eles de forma natural.   </w:t>
      </w:r>
    </w:p>
    <w:p>
      <w:pPr>
        <w:pStyle w:val="Normal"/>
        <w:numPr>
          <w:ilvl w:val="1"/>
          <w:numId w:val="1"/>
        </w:numPr>
        <w:spacing w:lineRule="auto" w:line="360"/>
        <w:rPr/>
      </w:pPr>
      <w:r>
        <w:rPr>
          <w:rFonts w:ascii="Verdana" w:hAnsi="Verdana"/>
          <w:color w:val="333333"/>
          <w:sz w:val="19"/>
          <w:szCs w:val="19"/>
          <w:lang w:val="gl-ES"/>
        </w:rPr>
        <w:t>Se fija un límite superior de 15g de azucres por porción envasada</w:t>
      </w:r>
      <w:r>
        <w:rPr>
          <w:rFonts w:ascii="Verdana" w:hAnsi="Verdana"/>
          <w:color w:val="333333"/>
          <w:sz w:val="19"/>
          <w:szCs w:val="19"/>
          <w:vertAlign w:val="superscript"/>
          <w:lang w:val="gl-ES"/>
        </w:rPr>
        <w:t>3 .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  <w:t xml:space="preserve">Ausencia de </w:t>
      </w:r>
      <w:r>
        <w:rPr>
          <w:rFonts w:ascii="Verdana" w:hAnsi="Verdana"/>
          <w:b/>
          <w:color w:val="333333"/>
          <w:sz w:val="19"/>
          <w:szCs w:val="19"/>
          <w:lang w:val="gl-ES"/>
        </w:rPr>
        <w:t>graxas trans</w:t>
      </w:r>
      <w:r>
        <w:rPr>
          <w:rFonts w:ascii="Verdana" w:hAnsi="Verdana"/>
          <w:color w:val="333333"/>
          <w:sz w:val="19"/>
          <w:szCs w:val="19"/>
          <w:lang w:val="gl-ES"/>
        </w:rPr>
        <w:t>, agás os presentes de forma natural en produtos lácteos e cárnicos(≤ 0.5g por ración)</w:t>
      </w:r>
      <w:r>
        <w:rPr>
          <w:rFonts w:ascii="Verdana" w:hAnsi="Verdana"/>
          <w:color w:val="333333"/>
          <w:sz w:val="19"/>
          <w:szCs w:val="19"/>
          <w:vertAlign w:val="superscript"/>
          <w:lang w:val="gl-ES"/>
        </w:rPr>
        <w:t>4</w:t>
      </w:r>
      <w:r>
        <w:rPr>
          <w:rFonts w:ascii="Verdana" w:hAnsi="Verdana"/>
          <w:color w:val="333333"/>
          <w:sz w:val="19"/>
          <w:szCs w:val="19"/>
          <w:lang w:val="gl-ES"/>
        </w:rPr>
        <w:t xml:space="preserve">. 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  <w:t xml:space="preserve">Se establece un máximo de 0,5 g de </w:t>
      </w:r>
      <w:r>
        <w:rPr>
          <w:rFonts w:ascii="Verdana" w:hAnsi="Verdana"/>
          <w:b/>
          <w:color w:val="333333"/>
          <w:sz w:val="19"/>
          <w:szCs w:val="19"/>
          <w:lang w:val="gl-ES"/>
        </w:rPr>
        <w:t>sal</w:t>
      </w:r>
      <w:r>
        <w:rPr>
          <w:rFonts w:ascii="Verdana" w:hAnsi="Verdana"/>
          <w:color w:val="333333"/>
          <w:sz w:val="19"/>
          <w:szCs w:val="19"/>
          <w:lang w:val="gl-ES"/>
        </w:rPr>
        <w:t xml:space="preserve"> (0,2 g de </w:t>
      </w:r>
      <w:r>
        <w:rPr>
          <w:rFonts w:ascii="Verdana" w:hAnsi="Verdana"/>
          <w:b/>
          <w:color w:val="333333"/>
          <w:sz w:val="19"/>
          <w:szCs w:val="19"/>
          <w:lang w:val="gl-ES"/>
        </w:rPr>
        <w:t>sodio</w:t>
      </w:r>
      <w:r>
        <w:rPr>
          <w:rFonts w:ascii="Verdana" w:hAnsi="Verdana"/>
          <w:color w:val="333333"/>
          <w:sz w:val="19"/>
          <w:szCs w:val="19"/>
          <w:lang w:val="gl-ES"/>
        </w:rPr>
        <w:t>)en cada envase o porción consumida</w:t>
      </w:r>
      <w:r>
        <w:rPr>
          <w:rFonts w:ascii="Verdana" w:hAnsi="Verdana"/>
          <w:color w:val="333333"/>
          <w:sz w:val="19"/>
          <w:szCs w:val="19"/>
          <w:vertAlign w:val="superscript"/>
          <w:lang w:val="gl-ES"/>
        </w:rPr>
        <w:t>5</w:t>
      </w:r>
      <w:r>
        <w:rPr>
          <w:rFonts w:ascii="Verdana" w:hAnsi="Verdana"/>
          <w:color w:val="333333"/>
          <w:sz w:val="19"/>
          <w:szCs w:val="19"/>
          <w:lang w:val="gl-ES"/>
        </w:rPr>
        <w:t xml:space="preserve">. </w:t>
      </w:r>
    </w:p>
    <w:p>
      <w:pPr>
        <w:pStyle w:val="Normal"/>
        <w:jc w:val="left"/>
        <w:rPr>
          <w:rFonts w:ascii="Verdana" w:hAnsi="Verdana" w:cs="Arial"/>
          <w:b/>
          <w:b/>
          <w:sz w:val="20"/>
          <w:szCs w:val="20"/>
          <w:lang w:val="gl-ES"/>
        </w:rPr>
      </w:pPr>
      <w:r>
        <w:rPr>
          <w:rFonts w:cs="Arial" w:ascii="Verdana" w:hAnsi="Verdana"/>
          <w:b/>
          <w:sz w:val="20"/>
          <w:szCs w:val="20"/>
          <w:lang w:val="gl-ES"/>
        </w:rPr>
      </w:r>
    </w:p>
    <w:p>
      <w:pPr>
        <w:pStyle w:val="Normal"/>
        <w:jc w:val="left"/>
        <w:rPr>
          <w:rFonts w:ascii="Verdana" w:hAnsi="Verdana" w:cs="Arial"/>
          <w:b/>
          <w:b/>
          <w:sz w:val="20"/>
          <w:szCs w:val="20"/>
          <w:lang w:val="gl-ES"/>
        </w:rPr>
      </w:pPr>
      <w:r>
        <w:rPr>
          <w:rFonts w:cs="Arial" w:ascii="Verdana" w:hAnsi="Verdana"/>
          <w:b/>
          <w:sz w:val="20"/>
          <w:szCs w:val="20"/>
          <w:lang w:val="gl-ES"/>
        </w:rPr>
        <w:t>SEGUNDA:</w:t>
      </w:r>
    </w:p>
    <w:p>
      <w:pPr>
        <w:pStyle w:val="Normal"/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Serán de primeira elección: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Froitas naturais de fácil manipulación como o plátano, a mazá, as mandarinas, etc.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Froitas desecadas (cirolas pasas, uvas pasas, figos secos, orellóns de albaricoque)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Froitos secos (abelás, noces, améndoas, cacahuetes, pipas de xirasol)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 xml:space="preserve">Produtos hortícolas de cuarta gama: Hortalizas e verduras en atmosfera modificada e en envases para consumo individual. 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Pan fresco tipo boliña individual, integral e branco.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 xml:space="preserve">Pequenos bocadiños con xamón, friame de pavo ou tortilla de patacas. Deben evitarse outros embutidos máis densos en graxas como o salame, o chourizo, o salchichón, ou o queixo moi graxo. 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Conservas (exemplo: atún) en envases adaptados e individuais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Sobres de aceite e vinagre para aderezo</w:t>
      </w:r>
    </w:p>
    <w:p>
      <w:pPr>
        <w:pStyle w:val="Normal"/>
        <w:spacing w:lineRule="auto" w:line="276"/>
        <w:rPr>
          <w:rFonts w:ascii="Verdana" w:hAnsi="Verdana"/>
          <w:b/>
          <w:b/>
          <w:color w:val="FF000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Nota: As froitas poden sufrir algún dano co impacto da caída dende o dispensador, pero é leve xa que o consumo vai ser inmediato. Para amortecer o impacto aconséllase colocar este tipo de alimentos no caixón máis inmediato á saída.</w:t>
      </w:r>
      <w:r>
        <w:rPr>
          <w:rFonts w:ascii="Verdana" w:hAnsi="Verdana"/>
          <w:b/>
          <w:color w:val="FF0000"/>
          <w:lang w:val="gl-ES"/>
        </w:rPr>
        <w:t xml:space="preserve"> </w:t>
      </w:r>
    </w:p>
    <w:p>
      <w:pPr>
        <w:pStyle w:val="Normal"/>
        <w:jc w:val="left"/>
        <w:rPr>
          <w:rFonts w:ascii="Verdana" w:hAnsi="Verdana" w:cs="Arial"/>
          <w:b/>
          <w:b/>
          <w:sz w:val="20"/>
          <w:szCs w:val="20"/>
          <w:lang w:val="gl-ES"/>
        </w:rPr>
      </w:pPr>
      <w:r>
        <w:rPr>
          <w:rFonts w:cs="Arial" w:ascii="Verdana" w:hAnsi="Verdana"/>
          <w:b/>
          <w:sz w:val="20"/>
          <w:szCs w:val="20"/>
          <w:lang w:val="gl-ES"/>
        </w:rPr>
      </w:r>
    </w:p>
    <w:p>
      <w:pPr>
        <w:pStyle w:val="Normal"/>
        <w:jc w:val="left"/>
        <w:rPr>
          <w:rFonts w:ascii="Verdana" w:hAnsi="Verdana" w:cs="Arial"/>
          <w:b/>
          <w:b/>
          <w:sz w:val="20"/>
          <w:szCs w:val="20"/>
          <w:lang w:val="gl-ES"/>
        </w:rPr>
      </w:pPr>
      <w:r>
        <w:rPr>
          <w:rFonts w:cs="Arial" w:ascii="Verdana" w:hAnsi="Verdana"/>
          <w:b/>
          <w:sz w:val="20"/>
          <w:szCs w:val="20"/>
          <w:lang w:val="gl-ES"/>
        </w:rPr>
        <w:t>TERCEIRA:</w:t>
      </w:r>
    </w:p>
    <w:p>
      <w:pPr>
        <w:pStyle w:val="Normal"/>
        <w:spacing w:lineRule="auto" w:line="276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Serán de segunda elección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Produtos de aperitivo coñecidos como “de liña sá” (barriñas de cereais, muesli, etc.). Nestes produtos está particularmente indicado ler a etiqueta nutricional e comparala coa táboa adxunta</w:t>
      </w:r>
      <w:r>
        <w:rPr>
          <w:rFonts w:cs="Arial" w:ascii="Verdana" w:hAnsi="Verdana"/>
          <w:sz w:val="20"/>
          <w:szCs w:val="20"/>
          <w:vertAlign w:val="superscript"/>
          <w:lang w:val="gl-ES"/>
        </w:rPr>
        <w:t>6</w:t>
      </w:r>
      <w:r>
        <w:rPr>
          <w:rFonts w:cs="Arial" w:ascii="Verdana" w:hAnsi="Verdana"/>
          <w:sz w:val="20"/>
          <w:szCs w:val="20"/>
          <w:lang w:val="gl-ES"/>
        </w:rPr>
        <w:t xml:space="preserve">, xa que aínda que na maioría dos casos adoitan ser menos densos que a media, non sempre o cumpren. 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Patacas fritidas baixas en sal e graxas</w:t>
      </w:r>
      <w:r>
        <w:rPr>
          <w:rFonts w:cs="Arial" w:ascii="Verdana" w:hAnsi="Verdana"/>
          <w:sz w:val="20"/>
          <w:szCs w:val="20"/>
          <w:vertAlign w:val="superscript"/>
          <w:lang w:val="gl-ES"/>
        </w:rPr>
        <w:t>6</w:t>
      </w:r>
    </w:p>
    <w:p>
      <w:pPr>
        <w:pStyle w:val="Normal"/>
        <w:spacing w:lineRule="auto" w:line="360"/>
        <w:rPr>
          <w:rFonts w:ascii="Verdana" w:hAnsi="Verdana" w:cs="Arial"/>
          <w:b/>
          <w:b/>
          <w:sz w:val="20"/>
          <w:szCs w:val="20"/>
          <w:lang w:val="gl-ES"/>
        </w:rPr>
      </w:pPr>
      <w:r>
        <w:rPr>
          <w:rFonts w:cs="Arial" w:ascii="Verdana" w:hAnsi="Verdana"/>
          <w:b/>
          <w:sz w:val="20"/>
          <w:szCs w:val="20"/>
          <w:lang w:val="gl-ES"/>
        </w:rPr>
      </w:r>
    </w:p>
    <w:p>
      <w:pPr>
        <w:pStyle w:val="Normal"/>
        <w:spacing w:lineRule="auto" w:line="360"/>
        <w:rPr>
          <w:rFonts w:ascii="Verdana" w:hAnsi="Verdana" w:cs="Arial"/>
          <w:b/>
          <w:b/>
          <w:sz w:val="20"/>
          <w:szCs w:val="20"/>
          <w:lang w:val="gl-ES"/>
        </w:rPr>
      </w:pPr>
      <w:r>
        <w:rPr>
          <w:rFonts w:cs="Arial" w:ascii="Verdana" w:hAnsi="Verdana"/>
          <w:b/>
          <w:sz w:val="20"/>
          <w:szCs w:val="20"/>
          <w:lang w:val="gl-ES"/>
        </w:rPr>
        <w:t>CUARTA:</w:t>
      </w:r>
    </w:p>
    <w:p>
      <w:pPr>
        <w:pStyle w:val="Normal"/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Son de terceira elección:</w:t>
      </w:r>
    </w:p>
    <w:p>
      <w:pPr>
        <w:pStyle w:val="Normal"/>
        <w:numPr>
          <w:ilvl w:val="0"/>
          <w:numId w:val="1"/>
        </w:numPr>
        <w:spacing w:lineRule="auto" w:line="276"/>
        <w:rPr>
          <w:rFonts w:ascii="Verdana" w:hAnsi="Verdana" w:cs="Arial"/>
          <w:sz w:val="20"/>
          <w:szCs w:val="20"/>
          <w:lang w:val="gl-ES"/>
        </w:rPr>
      </w:pPr>
      <w:bookmarkStart w:id="0" w:name="_GoBack"/>
      <w:bookmarkEnd w:id="0"/>
      <w:r>
        <w:rPr>
          <w:rFonts w:cs="Arial" w:ascii="Verdana" w:hAnsi="Verdana"/>
          <w:sz w:val="20"/>
          <w:szCs w:val="20"/>
          <w:lang w:val="gl-ES"/>
        </w:rPr>
        <w:t xml:space="preserve">Produtos como os “snacks salgados”. Dentro destes son máis recomendables as patacas fritidas clásicas, produtos de aperitivo a base de arroz e outros baixos en graxa. </w:t>
      </w:r>
    </w:p>
    <w:p>
      <w:pPr>
        <w:pStyle w:val="Normal"/>
        <w:spacing w:lineRule="auto" w:line="276"/>
        <w:rPr>
          <w:rFonts w:ascii="Verdana" w:hAnsi="Verdana" w:cs="Arial"/>
          <w:b/>
          <w:b/>
          <w:sz w:val="20"/>
          <w:szCs w:val="20"/>
          <w:lang w:val="gl-ES"/>
        </w:rPr>
      </w:pPr>
      <w:r>
        <w:rPr>
          <w:rFonts w:cs="Arial" w:ascii="Verdana" w:hAnsi="Verdana"/>
          <w:b/>
          <w:sz w:val="20"/>
          <w:szCs w:val="20"/>
          <w:lang w:val="gl-ES"/>
        </w:rPr>
      </w:r>
    </w:p>
    <w:p>
      <w:pPr>
        <w:pStyle w:val="Normal"/>
        <w:spacing w:lineRule="auto" w:line="276"/>
        <w:rPr>
          <w:rFonts w:ascii="Verdana" w:hAnsi="Verdana" w:cs="Arial"/>
          <w:b/>
          <w:b/>
          <w:sz w:val="20"/>
          <w:szCs w:val="20"/>
          <w:lang w:val="gl-ES"/>
        </w:rPr>
      </w:pPr>
      <w:r>
        <w:rPr>
          <w:rFonts w:cs="Arial" w:ascii="Verdana" w:hAnsi="Verdana"/>
          <w:b/>
          <w:sz w:val="20"/>
          <w:szCs w:val="20"/>
          <w:lang w:val="gl-ES"/>
        </w:rPr>
        <w:t>QUINTA:</w:t>
      </w:r>
    </w:p>
    <w:p>
      <w:pPr>
        <w:pStyle w:val="Normal"/>
        <w:spacing w:lineRule="auto" w:line="276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Outros produtos</w:t>
      </w:r>
    </w:p>
    <w:p>
      <w:pPr>
        <w:pStyle w:val="Normal"/>
        <w:numPr>
          <w:ilvl w:val="0"/>
          <w:numId w:val="1"/>
        </w:numPr>
        <w:spacing w:lineRule="auto" w:line="276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 xml:space="preserve">Chocolatinas: son de elección as que presentan máis contido en cacao e menos en crema de leite, rica polo xeral en graxas saturadas. </w:t>
      </w:r>
    </w:p>
    <w:p>
      <w:pPr>
        <w:pStyle w:val="Normal"/>
        <w:numPr>
          <w:ilvl w:val="0"/>
          <w:numId w:val="1"/>
        </w:numPr>
        <w:spacing w:lineRule="auto" w:line="276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 xml:space="preserve">Snacks doces e bolería industrial:Polo xeral non son recomendables. Son os  croissants, </w:t>
      </w:r>
      <w:r>
        <w:rPr>
          <w:rFonts w:cs="Arial" w:ascii="Verdana" w:hAnsi="Verdana"/>
          <w:i/>
          <w:sz w:val="20"/>
          <w:szCs w:val="20"/>
          <w:lang w:val="gl-ES"/>
        </w:rPr>
        <w:t>palmeras</w:t>
      </w:r>
      <w:r>
        <w:rPr>
          <w:rFonts w:cs="Arial" w:ascii="Verdana" w:hAnsi="Verdana"/>
          <w:sz w:val="20"/>
          <w:szCs w:val="20"/>
          <w:lang w:val="gl-ES"/>
        </w:rPr>
        <w:t xml:space="preserve">, </w:t>
      </w:r>
      <w:r>
        <w:rPr>
          <w:rFonts w:cs="Arial" w:ascii="Verdana" w:hAnsi="Verdana"/>
          <w:i/>
          <w:sz w:val="20"/>
          <w:szCs w:val="20"/>
          <w:lang w:val="gl-ES"/>
        </w:rPr>
        <w:t>palmeras</w:t>
      </w:r>
      <w:r>
        <w:rPr>
          <w:rFonts w:cs="Arial" w:ascii="Verdana" w:hAnsi="Verdana"/>
          <w:sz w:val="20"/>
          <w:szCs w:val="20"/>
          <w:lang w:val="gl-ES"/>
        </w:rPr>
        <w:t xml:space="preserve"> con cobertura de chocolate, pasteliños de chocolate, bolos doces recheos, salvo que a composición nutricional que figure na súa etiqueta cumpra os criterios da táboa que se xunta</w:t>
      </w:r>
      <w:r>
        <w:rPr>
          <w:rFonts w:cs="Arial" w:ascii="Verdana" w:hAnsi="Verdana"/>
          <w:sz w:val="20"/>
          <w:szCs w:val="20"/>
          <w:vertAlign w:val="superscript"/>
          <w:lang w:val="gl-ES"/>
        </w:rPr>
        <w:t>6</w:t>
      </w:r>
      <w:r>
        <w:rPr>
          <w:rFonts w:cs="Arial" w:ascii="Verdana" w:hAnsi="Verdana"/>
          <w:sz w:val="20"/>
          <w:szCs w:val="20"/>
          <w:lang w:val="gl-ES"/>
        </w:rPr>
        <w:t>.</w:t>
      </w:r>
    </w:p>
    <w:p>
      <w:pPr>
        <w:pStyle w:val="Normal"/>
        <w:spacing w:lineRule="auto" w:line="360"/>
        <w:rPr>
          <w:rFonts w:ascii="Verdana" w:hAnsi="Verdana" w:cs="Arial"/>
          <w:b/>
          <w:b/>
          <w:sz w:val="20"/>
          <w:szCs w:val="20"/>
          <w:lang w:val="gl-ES"/>
        </w:rPr>
      </w:pPr>
      <w:r>
        <w:rPr>
          <w:rFonts w:cs="Arial" w:ascii="Verdana" w:hAnsi="Verdana"/>
          <w:b/>
          <w:sz w:val="20"/>
          <w:szCs w:val="20"/>
          <w:lang w:val="gl-ES"/>
        </w:rPr>
        <w:t>SEXTA:</w:t>
      </w:r>
    </w:p>
    <w:p>
      <w:pPr>
        <w:pStyle w:val="Normal"/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Bebidas:</w:t>
      </w:r>
    </w:p>
    <w:p>
      <w:pPr>
        <w:pStyle w:val="Normal"/>
        <w:numPr>
          <w:ilvl w:val="0"/>
          <w:numId w:val="1"/>
        </w:numPr>
        <w:spacing w:lineRule="auto" w:line="276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A bebida de elección é sempre a auga</w:t>
      </w:r>
    </w:p>
    <w:p>
      <w:pPr>
        <w:pStyle w:val="Normal"/>
        <w:numPr>
          <w:ilvl w:val="0"/>
          <w:numId w:val="1"/>
        </w:numPr>
        <w:spacing w:lineRule="auto" w:line="276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Outras que poden dispensarse son:</w:t>
      </w:r>
    </w:p>
    <w:p>
      <w:pPr>
        <w:pStyle w:val="Normal"/>
        <w:numPr>
          <w:ilvl w:val="1"/>
          <w:numId w:val="1"/>
        </w:numPr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Zumes (non néctar nin bebida de extractos) sen azucres engadidos.</w:t>
      </w:r>
    </w:p>
    <w:p>
      <w:pPr>
        <w:pStyle w:val="Normal"/>
        <w:numPr>
          <w:ilvl w:val="1"/>
          <w:numId w:val="1"/>
        </w:numPr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Iogur líquido (sen azucres nin outros compoñentes engadidos)</w:t>
      </w:r>
    </w:p>
    <w:p>
      <w:pPr>
        <w:pStyle w:val="Normal"/>
        <w:numPr>
          <w:ilvl w:val="1"/>
          <w:numId w:val="1"/>
        </w:numPr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>Infusións</w:t>
      </w:r>
    </w:p>
    <w:p>
      <w:pPr>
        <w:pStyle w:val="Normal"/>
        <w:numPr>
          <w:ilvl w:val="0"/>
          <w:numId w:val="1"/>
        </w:numPr>
        <w:spacing w:lineRule="auto" w:line="276"/>
        <w:rPr>
          <w:rFonts w:ascii="Verdana" w:hAnsi="Verdana" w:cs="Arial"/>
          <w:sz w:val="20"/>
          <w:szCs w:val="20"/>
          <w:lang w:val="gl-ES"/>
        </w:rPr>
      </w:pPr>
      <w:r>
        <w:rPr>
          <w:rFonts w:ascii="Verdana" w:hAnsi="Verdana"/>
          <w:sz w:val="20"/>
          <w:szCs w:val="20"/>
          <w:lang w:val="gl-ES"/>
        </w:rPr>
        <w:t xml:space="preserve">Na medida do posible, evitare,  a oferta de bebidas refrescantes azucradas e/ou gasificadas (cola, extractos), bebidas enerxéticas e batidos comerciais. </w:t>
      </w:r>
    </w:p>
    <w:p>
      <w:pPr>
        <w:pStyle w:val="Normal"/>
        <w:spacing w:lineRule="auto" w:line="360"/>
        <w:rPr>
          <w:rFonts w:ascii="Verdana" w:hAnsi="Verdana" w:cs="Arial"/>
          <w:b/>
          <w:b/>
          <w:sz w:val="20"/>
          <w:szCs w:val="20"/>
          <w:lang w:val="gl-ES"/>
        </w:rPr>
      </w:pPr>
      <w:r>
        <w:rPr>
          <w:rFonts w:cs="Arial" w:ascii="Verdana" w:hAnsi="Verdana"/>
          <w:b/>
          <w:sz w:val="20"/>
          <w:szCs w:val="20"/>
          <w:lang w:val="gl-ES"/>
        </w:rPr>
      </w:r>
    </w:p>
    <w:p>
      <w:pPr>
        <w:pStyle w:val="Normal"/>
        <w:jc w:val="left"/>
        <w:rPr>
          <w:rFonts w:ascii="Verdana" w:hAnsi="Verdana"/>
          <w:b/>
          <w:b/>
          <w:color w:val="FF0000"/>
          <w:lang w:val="gl-ES"/>
        </w:rPr>
      </w:pPr>
      <w:r>
        <w:rPr>
          <w:rFonts w:ascii="Verdana" w:hAnsi="Verdana"/>
          <w:b/>
          <w:color w:val="FF0000"/>
          <w:lang w:val="gl-ES"/>
        </w:rPr>
      </w:r>
    </w:p>
    <w:p>
      <w:pPr>
        <w:pStyle w:val="Normal"/>
        <w:jc w:val="left"/>
        <w:rPr>
          <w:rFonts w:ascii="Verdana" w:hAnsi="Verdana"/>
          <w:b/>
          <w:b/>
          <w:color w:val="FF0000"/>
          <w:lang w:val="gl-ES"/>
        </w:rPr>
      </w:pPr>
      <w:r>
        <w:rPr>
          <w:rFonts w:ascii="Verdana" w:hAnsi="Verdana"/>
          <w:b/>
          <w:color w:val="FF0000"/>
          <w:lang w:val="gl-ES"/>
        </w:rPr>
      </w:r>
    </w:p>
    <w:p>
      <w:pPr>
        <w:pStyle w:val="Normal"/>
        <w:spacing w:lineRule="auto" w:line="360"/>
        <w:rPr>
          <w:rFonts w:ascii="Verdana" w:hAnsi="Verdana" w:cs="Arial"/>
          <w:b/>
          <w:b/>
          <w:sz w:val="20"/>
          <w:szCs w:val="20"/>
          <w:lang w:val="gl-ES"/>
        </w:rPr>
      </w:pPr>
      <w:r>
        <w:rPr>
          <w:rFonts w:cs="Arial" w:ascii="Verdana" w:hAnsi="Verdana"/>
          <w:b/>
          <w:sz w:val="20"/>
          <w:szCs w:val="20"/>
          <w:lang w:val="gl-ES"/>
        </w:rPr>
        <w:t>XUSTIFICACIÓN:</w:t>
      </w:r>
    </w:p>
    <w:p>
      <w:pPr>
        <w:pStyle w:val="Normal"/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 xml:space="preserve"> </w:t>
      </w:r>
      <w:r>
        <w:rPr>
          <w:rFonts w:cs="Arial" w:ascii="Verdana" w:hAnsi="Verdana"/>
          <w:sz w:val="20"/>
          <w:szCs w:val="20"/>
          <w:lang w:val="gl-ES"/>
        </w:rPr>
        <w:t>(1)</w:t>
      </w:r>
      <w:r>
        <w:rPr>
          <w:rFonts w:cs="Arial" w:ascii="Verdana" w:hAnsi="Verdana"/>
          <w:b/>
          <w:sz w:val="20"/>
          <w:szCs w:val="20"/>
          <w:lang w:val="gl-ES"/>
        </w:rPr>
        <w:t>Valor enerxético</w:t>
      </w:r>
      <w:r>
        <w:rPr>
          <w:rFonts w:cs="Arial" w:ascii="Verdana" w:hAnsi="Verdana"/>
          <w:sz w:val="20"/>
          <w:szCs w:val="20"/>
          <w:lang w:val="gl-ES"/>
        </w:rPr>
        <w:t xml:space="preserve">: É recomendable que a enerxía necesaria repártase do seguinte xeito ó longo do día: 25% no almorzo (ou ben 15%, se tratase dun almorzo lixeiro e 10% no xantar de media mañá), 35% na comida, 10% na merenda e o 30% restante durante a cea. Considerando que as necesidades nutricionais para mulleres e homes en idades comprendidas entre os 20 e os 69 anos con actividade física lixeira, moderada ou intensa é aproximadamente 2.170 quilocalorías para mulleres e 2.660 para homes. </w:t>
      </w:r>
    </w:p>
    <w:p>
      <w:pPr>
        <w:pStyle w:val="Normal"/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</w:r>
    </w:p>
    <w:p>
      <w:pPr>
        <w:pStyle w:val="Normal"/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 xml:space="preserve">(2) </w:t>
      </w:r>
      <w:r>
        <w:rPr>
          <w:rFonts w:cs="Arial" w:ascii="Verdana" w:hAnsi="Verdana"/>
          <w:b/>
          <w:sz w:val="20"/>
          <w:szCs w:val="20"/>
          <w:lang w:val="gl-ES"/>
        </w:rPr>
        <w:t>Graxa total e graxas saturadas</w:t>
      </w:r>
      <w:r>
        <w:rPr>
          <w:rFonts w:cs="Arial" w:ascii="Verdana" w:hAnsi="Verdana"/>
          <w:sz w:val="20"/>
          <w:szCs w:val="20"/>
          <w:lang w:val="gl-ES"/>
        </w:rPr>
        <w:t xml:space="preserve">: A poboación española consume demasiadas graxas, especialmente graxas saturadas. É necesario consumir certa cantidade destas sustancias para cubrir as necesidades metabólicas de ácidos graxos esenciais e como vehículo para a absorción de vitaminas liposolubles. Sen embargo se hai un consumo elevado e non se compensa con altos niveis de actividade física pode provocar sobrepeso e obesidade e un maior risco de enfermidades cardiovasculares. </w:t>
      </w:r>
    </w:p>
    <w:p>
      <w:pPr>
        <w:pStyle w:val="Normal"/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</w:r>
    </w:p>
    <w:p>
      <w:pPr>
        <w:pStyle w:val="Normal"/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  <w:t>(3)</w:t>
      </w:r>
      <w:r>
        <w:rPr>
          <w:rFonts w:ascii="Verdana" w:hAnsi="Verdana"/>
          <w:b/>
          <w:color w:val="333333"/>
          <w:sz w:val="19"/>
          <w:szCs w:val="19"/>
          <w:lang w:val="gl-ES"/>
        </w:rPr>
        <w:t>Azucres totais:</w:t>
      </w:r>
      <w:r>
        <w:rPr>
          <w:rFonts w:ascii="Verdana" w:hAnsi="Verdana"/>
          <w:color w:val="333333"/>
          <w:sz w:val="19"/>
          <w:szCs w:val="19"/>
          <w:lang w:val="gl-ES"/>
        </w:rPr>
        <w:t xml:space="preserve"> O alto contido de azucres incrementa a densidade enerxética dos alimentos e polo tanto a inxesta enerxética total e o risco de sobrepeso e obesidade. Tendo en conta as recomendacións dos expertos o contido máximo de azucres totais debería ser 9 g por envase.</w:t>
      </w:r>
    </w:p>
    <w:p>
      <w:pPr>
        <w:pStyle w:val="Normal"/>
        <w:spacing w:lineRule="auto" w:line="360"/>
        <w:rPr>
          <w:rFonts w:ascii="Verdana" w:hAnsi="Verdana" w:cs="Arial"/>
          <w:sz w:val="20"/>
          <w:szCs w:val="20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</w:r>
    </w:p>
    <w:p>
      <w:pPr>
        <w:pStyle w:val="Normal"/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cs="Arial" w:ascii="Verdana" w:hAnsi="Verdana"/>
          <w:sz w:val="20"/>
          <w:szCs w:val="20"/>
          <w:lang w:val="gl-ES"/>
        </w:rPr>
        <w:t xml:space="preserve">(4) </w:t>
      </w:r>
      <w:r>
        <w:rPr>
          <w:rFonts w:cs="Arial" w:ascii="Verdana" w:hAnsi="Verdana"/>
          <w:b/>
          <w:sz w:val="20"/>
          <w:szCs w:val="20"/>
          <w:lang w:val="gl-ES"/>
        </w:rPr>
        <w:t xml:space="preserve">Ácidos graxos </w:t>
      </w:r>
      <w:r>
        <w:rPr>
          <w:rFonts w:cs="Arial" w:ascii="Verdana" w:hAnsi="Verdana"/>
          <w:b/>
          <w:i/>
          <w:sz w:val="20"/>
          <w:szCs w:val="20"/>
          <w:lang w:val="gl-ES"/>
        </w:rPr>
        <w:t>trans</w:t>
      </w:r>
      <w:r>
        <w:rPr>
          <w:rFonts w:cs="Arial" w:ascii="Verdana" w:hAnsi="Verdana"/>
          <w:b/>
          <w:sz w:val="20"/>
          <w:szCs w:val="20"/>
          <w:lang w:val="gl-ES"/>
        </w:rPr>
        <w:t xml:space="preserve">: </w:t>
      </w:r>
      <w:r>
        <w:rPr>
          <w:rFonts w:cs="Arial" w:ascii="Verdana" w:hAnsi="Verdana"/>
          <w:sz w:val="20"/>
          <w:szCs w:val="20"/>
          <w:lang w:val="gl-ES"/>
        </w:rPr>
        <w:t xml:space="preserve">O consumo destas sustancias asociase cun incremento do risco de padecer enfermidades cardiovasculares: ata un 23% cando increméntase un 2% o aporte enerxético procedente delas (correspondería aproximadamente a 40 quilocalorías nunha persoa que consume 2.000 ao día). Esta ameaza para a nosa saúde xustifica a ausencias de graxas </w:t>
      </w:r>
      <w:r>
        <w:rPr>
          <w:rFonts w:cs="Arial" w:ascii="Verdana" w:hAnsi="Verdana"/>
          <w:i/>
          <w:sz w:val="20"/>
          <w:szCs w:val="20"/>
          <w:lang w:val="gl-ES"/>
        </w:rPr>
        <w:t xml:space="preserve">trans </w:t>
      </w:r>
      <w:r>
        <w:rPr>
          <w:rFonts w:cs="Arial" w:ascii="Verdana" w:hAnsi="Verdana"/>
          <w:sz w:val="20"/>
          <w:szCs w:val="20"/>
          <w:lang w:val="gl-ES"/>
        </w:rPr>
        <w:t>nos alimentos (</w:t>
      </w:r>
      <w:r>
        <w:rPr>
          <w:rFonts w:ascii="Verdana" w:hAnsi="Verdana"/>
          <w:color w:val="333333"/>
          <w:sz w:val="19"/>
          <w:szCs w:val="19"/>
          <w:lang w:val="gl-ES"/>
        </w:rPr>
        <w:t>agás os presentes de forma natural en produtos lácteos e cárnicos(≤ 0.5g por ración).</w:t>
      </w:r>
    </w:p>
    <w:p>
      <w:pPr>
        <w:pStyle w:val="Normal"/>
        <w:jc w:val="left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</w:r>
      <w:r>
        <w:br w:type="page"/>
      </w:r>
    </w:p>
    <w:p>
      <w:pPr>
        <w:pStyle w:val="Normal"/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  <w:t xml:space="preserve">(5) </w:t>
      </w:r>
      <w:r>
        <w:rPr>
          <w:rFonts w:ascii="Verdana" w:hAnsi="Verdana"/>
          <w:b/>
          <w:color w:val="333333"/>
          <w:sz w:val="19"/>
          <w:szCs w:val="19"/>
          <w:lang w:val="gl-ES"/>
        </w:rPr>
        <w:t>Sal</w:t>
      </w:r>
      <w:r>
        <w:rPr>
          <w:rFonts w:ascii="Verdana" w:hAnsi="Verdana"/>
          <w:color w:val="333333"/>
          <w:sz w:val="19"/>
          <w:szCs w:val="19"/>
          <w:lang w:val="gl-ES"/>
        </w:rPr>
        <w:t>: A arteriosclerose, as embolias ou as hemorraxias cerebrais poden ser causas de ictus. Os factores de risco para padecer estas enfermidades son, na súa maioría, prevenibles: O tabaco, o alcohol, a hipertensión arterial, a diabete, o colesterol elevado, as dietas con exceso de sal e outras enfermidades cardíacas ou vasculares. A evidencia  demostrou que un consumo excesivo de sodio se asocia a presión arterial elevada, principal factor de risco de enfermidades cardiovasculares e cerebrovasculares que a súa vez constitúen a primeira causa de morte en Galicia. O consumo de sal causa más do 30% de tódolos casos de hipertensión.</w:t>
      </w:r>
    </w:p>
    <w:p>
      <w:pPr>
        <w:pStyle w:val="Normal"/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  <w:t>Como a sal conten sodio, é importante aprender a descender a sal da dieta. Unha medida eficaz consiste en consultar sempre a etiqueta nutricional dos alimentos e prestar atención ao contido de sal ou de sodio que indica.</w:t>
      </w:r>
    </w:p>
    <w:p>
      <w:pPr>
        <w:pStyle w:val="Normal"/>
        <w:jc w:val="left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</w:r>
      <w:r>
        <w:br w:type="page"/>
      </w:r>
    </w:p>
    <w:p>
      <w:pPr>
        <w:pStyle w:val="Normal"/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  <w:t>(6)</w:t>
      </w:r>
      <w:r>
        <w:rPr>
          <w:rFonts w:ascii="Verdana" w:hAnsi="Verdana"/>
          <w:b/>
          <w:color w:val="333333"/>
          <w:sz w:val="19"/>
          <w:szCs w:val="19"/>
          <w:lang w:val="gl-ES"/>
        </w:rPr>
        <w:t>Táboa de axuda para facer as eleccións máis saudables:</w:t>
      </w:r>
    </w:p>
    <w:p>
      <w:pPr>
        <w:pStyle w:val="Normal"/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  <w:t xml:space="preserve">Os produtos de aperitivo adoitan ter concentracións altas nos seguintes nutrientes, pero a táboa pode axudar a elixir aqueles que máis se acerquen a opción mais saudable.  </w:t>
      </w:r>
    </w:p>
    <w:p>
      <w:pPr>
        <w:pStyle w:val="Normal"/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  <w:t>Mostra unha serie de nutrientes indicadores para aceptar un produto alimenticio como “alimento con alto, medio o baixo contido de nutrientes pouco saudables”.</w:t>
      </w:r>
    </w:p>
    <w:p>
      <w:pPr>
        <w:pStyle w:val="Normal"/>
        <w:spacing w:lineRule="auto" w:line="360"/>
        <w:rPr>
          <w:rFonts w:ascii="Verdana" w:hAnsi="Verdana"/>
          <w:color w:val="333333"/>
          <w:sz w:val="19"/>
          <w:szCs w:val="19"/>
          <w:lang w:val="gl-ES"/>
        </w:rPr>
      </w:pPr>
      <w:r>
        <w:rPr>
          <w:rFonts w:ascii="Verdana" w:hAnsi="Verdana"/>
          <w:color w:val="333333"/>
          <w:sz w:val="19"/>
          <w:szCs w:val="19"/>
          <w:lang w:val="gl-ES"/>
        </w:rPr>
        <w:t xml:space="preserve">Estes contidos establecéronse en base aos datos aportados polas sociedades científicas e expertos en nutrición, especialmente “Food Standards Agency” (United Kindom). </w:t>
      </w:r>
    </w:p>
    <w:tbl>
      <w:tblPr>
        <w:tblW w:w="8721" w:type="dxa"/>
        <w:jc w:val="center"/>
        <w:tblInd w:w="0" w:type="dxa"/>
        <w:tblBorders>
          <w:bottom w:val="single" w:sz="18" w:space="0" w:color="0000FF"/>
          <w:insideH w:val="single" w:sz="18" w:space="0" w:color="0000FF"/>
        </w:tblBorders>
        <w:tblCellMar>
          <w:top w:w="0" w:type="dxa"/>
          <w:left w:w="130" w:type="dxa"/>
          <w:bottom w:w="0" w:type="dxa"/>
          <w:right w:w="108" w:type="dxa"/>
        </w:tblCellMar>
        <w:tblLook w:val="01e0"/>
      </w:tblPr>
      <w:tblGrid>
        <w:gridCol w:w="1922"/>
        <w:gridCol w:w="2137"/>
        <w:gridCol w:w="2536"/>
        <w:gridCol w:w="2125"/>
      </w:tblGrid>
      <w:tr>
        <w:trPr/>
        <w:tc>
          <w:tcPr>
            <w:tcW w:w="1922" w:type="dxa"/>
            <w:tcBorders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sz w:val="20"/>
                <w:szCs w:val="20"/>
                <w:lang w:val="gl-ES"/>
              </w:rPr>
              <w:t>Nutrientes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i/>
                <w:i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sz w:val="20"/>
                <w:szCs w:val="20"/>
                <w:lang w:val="gl-ES"/>
              </w:rPr>
              <w:t>indicadores</w:t>
            </w:r>
          </w:p>
        </w:tc>
        <w:tc>
          <w:tcPr>
            <w:tcW w:w="2137" w:type="dxa"/>
            <w:tcBorders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339966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339966"/>
                <w:sz w:val="20"/>
                <w:szCs w:val="20"/>
                <w:lang w:val="gl-ES"/>
              </w:rPr>
              <w:t>Contido Baixo</w:t>
            </w:r>
          </w:p>
        </w:tc>
        <w:tc>
          <w:tcPr>
            <w:tcW w:w="2536" w:type="dxa"/>
            <w:tcBorders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FF6600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FF6600"/>
                <w:sz w:val="20"/>
                <w:szCs w:val="20"/>
                <w:lang w:val="gl-ES"/>
              </w:rPr>
              <w:t xml:space="preserve">Contido Medio </w:t>
            </w:r>
          </w:p>
        </w:tc>
        <w:tc>
          <w:tcPr>
            <w:tcW w:w="2125" w:type="dxa"/>
            <w:tcBorders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FF0000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FF0000"/>
                <w:sz w:val="20"/>
                <w:szCs w:val="20"/>
                <w:lang w:val="gl-ES"/>
              </w:rPr>
              <w:t>Contido Alto</w:t>
            </w:r>
          </w:p>
        </w:tc>
      </w:tr>
      <w:tr>
        <w:trPr/>
        <w:tc>
          <w:tcPr>
            <w:tcW w:w="1922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tabs>
                <w:tab w:val="right" w:pos="1854" w:leader="none"/>
              </w:tabs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  <w:t>Graxas</w:t>
              <w:tab/>
            </w:r>
          </w:p>
        </w:tc>
        <w:tc>
          <w:tcPr>
            <w:tcW w:w="2137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 xml:space="preserve">≤ </w:t>
            </w: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3g /100 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</w:r>
          </w:p>
        </w:tc>
        <w:tc>
          <w:tcPr>
            <w:tcW w:w="2536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&gt;3 y &lt; 20g/100g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</w:r>
          </w:p>
        </w:tc>
        <w:tc>
          <w:tcPr>
            <w:tcW w:w="2125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 xml:space="preserve">   ≥</w:t>
            </w: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20g /100 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</w:r>
          </w:p>
        </w:tc>
      </w:tr>
      <w:tr>
        <w:trPr/>
        <w:tc>
          <w:tcPr>
            <w:tcW w:w="1922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  <w:t xml:space="preserve">Graxas 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  <w:t>saturadas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16"/>
                <w:szCs w:val="16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16"/>
                <w:szCs w:val="16"/>
                <w:lang w:val="gl-ES"/>
              </w:rPr>
              <w:t>Evite as “graxas trans”nos alimentos</w:t>
            </w:r>
          </w:p>
        </w:tc>
        <w:tc>
          <w:tcPr>
            <w:tcW w:w="2137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 xml:space="preserve">≤ </w:t>
            </w: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1,5/100g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</w:r>
          </w:p>
        </w:tc>
        <w:tc>
          <w:tcPr>
            <w:tcW w:w="2536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&gt;1,5 y &lt; 5g/100g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</w:r>
          </w:p>
        </w:tc>
        <w:tc>
          <w:tcPr>
            <w:tcW w:w="2125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 xml:space="preserve"> ≥</w:t>
            </w: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5g /100 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 xml:space="preserve">   </w:t>
            </w:r>
          </w:p>
        </w:tc>
      </w:tr>
      <w:tr>
        <w:trPr/>
        <w:tc>
          <w:tcPr>
            <w:tcW w:w="1922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  <w:t xml:space="preserve">Azucres simples 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</w:r>
          </w:p>
        </w:tc>
        <w:tc>
          <w:tcPr>
            <w:tcW w:w="2137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≤</w:t>
            </w: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5g/100g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 xml:space="preserve">≤ </w:t>
            </w: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2,5g/100ml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</w:r>
          </w:p>
        </w:tc>
        <w:tc>
          <w:tcPr>
            <w:tcW w:w="2536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&gt;5 y &lt; 10g/100g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&gt;2,5 y &lt; 7,5/100ml</w:t>
            </w:r>
          </w:p>
        </w:tc>
        <w:tc>
          <w:tcPr>
            <w:tcW w:w="2125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 xml:space="preserve">   ≥</w:t>
            </w: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10g /100 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 xml:space="preserve">   ≥</w:t>
            </w: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7,5g/ 100ml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</w:r>
          </w:p>
        </w:tc>
      </w:tr>
      <w:tr>
        <w:trPr/>
        <w:tc>
          <w:tcPr>
            <w:tcW w:w="1922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  <w:t>Sal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  <w:t>Sodio</w:t>
            </w:r>
          </w:p>
        </w:tc>
        <w:tc>
          <w:tcPr>
            <w:tcW w:w="2137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≤</w:t>
            </w: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0,3g/100g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≤</w:t>
            </w: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 xml:space="preserve">0,12g/100g </w:t>
            </w:r>
          </w:p>
        </w:tc>
        <w:tc>
          <w:tcPr>
            <w:tcW w:w="2536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&gt;0,3 y &lt; 1,5g/100g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&gt;0,12 y &lt;0,6/100g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</w:r>
          </w:p>
        </w:tc>
        <w:tc>
          <w:tcPr>
            <w:tcW w:w="2125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 xml:space="preserve">   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 xml:space="preserve">  ≥</w:t>
            </w: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1,5g /100g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 xml:space="preserve">   ≥</w:t>
            </w: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  <w:t>0.6g/ 100g</w:t>
            </w:r>
          </w:p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</w:r>
          </w:p>
        </w:tc>
      </w:tr>
      <w:tr>
        <w:trPr/>
        <w:tc>
          <w:tcPr>
            <w:tcW w:w="1922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i/>
                <w:i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i/>
                <w:color w:val="0000FF"/>
                <w:sz w:val="20"/>
                <w:szCs w:val="20"/>
                <w:lang w:val="gl-ES"/>
              </w:rPr>
            </w:r>
          </w:p>
        </w:tc>
        <w:tc>
          <w:tcPr>
            <w:tcW w:w="2137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</w:r>
          </w:p>
        </w:tc>
        <w:tc>
          <w:tcPr>
            <w:tcW w:w="2536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</w:r>
          </w:p>
        </w:tc>
        <w:tc>
          <w:tcPr>
            <w:tcW w:w="2125" w:type="dxa"/>
            <w:tcBorders>
              <w:top w:val="single" w:sz="18" w:space="0" w:color="0000FF"/>
              <w:bottom w:val="single" w:sz="18" w:space="0" w:color="0000FF"/>
              <w:insideH w:val="single" w:sz="18" w:space="0" w:color="0000FF"/>
            </w:tcBorders>
            <w:shd w:color="auto" w:fill="E7FFFF" w:val="clear"/>
            <w:vAlign w:val="center"/>
          </w:tcPr>
          <w:p>
            <w:pPr>
              <w:pStyle w:val="Normal"/>
              <w:spacing w:lineRule="auto" w:line="360"/>
              <w:rPr>
                <w:rFonts w:ascii="Verdana" w:hAnsi="Verdana" w:cs="Arial"/>
                <w:b/>
                <w:b/>
                <w:color w:val="0000FF"/>
                <w:sz w:val="20"/>
                <w:szCs w:val="20"/>
                <w:lang w:val="gl-ES"/>
              </w:rPr>
            </w:pPr>
            <w:r>
              <w:rPr>
                <w:rFonts w:cs="Arial" w:ascii="Verdana" w:hAnsi="Verdana"/>
                <w:b/>
                <w:color w:val="0000FF"/>
                <w:sz w:val="20"/>
                <w:szCs w:val="20"/>
                <w:lang w:val="gl-ES"/>
              </w:rPr>
            </w:r>
          </w:p>
        </w:tc>
      </w:tr>
    </w:tbl>
    <w:p>
      <w:pPr>
        <w:pStyle w:val="Normal"/>
        <w:rPr>
          <w:lang w:val="gl-ES"/>
        </w:rPr>
      </w:pPr>
      <w:r>
        <w:rPr>
          <w:lang w:val="gl-ES"/>
        </w:rPr>
      </w:r>
    </w:p>
    <w:p>
      <w:pPr>
        <w:pStyle w:val="Normal"/>
        <w:rPr>
          <w:lang w:val="gl-ES"/>
        </w:rPr>
      </w:pPr>
      <w:r>
        <w:rPr>
          <w:lang w:val="gl-ES"/>
        </w:rPr>
        <w:t>Santiago de Compostela, 8 de febreiro de 2012</w:t>
      </w:r>
    </w:p>
    <w:p>
      <w:pPr>
        <w:pStyle w:val="Encabezamiento"/>
        <w:rPr/>
      </w:pPr>
      <w:r>
        <w:rPr/>
        <w:drawing>
          <wp:inline distT="0" distB="0" distL="0" distR="0">
            <wp:extent cx="5395595" cy="1658620"/>
            <wp:effectExtent l="0" t="0" r="0" b="0"/>
            <wp:docPr id="1" name="Imagen 3" descr="DXIXSP-Azul_Neg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3" descr="DXIXSP-Azul_Negr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595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5395595" cy="1658620"/>
            <wp:effectExtent l="0" t="0" r="0" b="0"/>
            <wp:docPr id="2" name="Imagen 4" descr="DXIXSP-Azul_Neg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4" descr="DXIXSP-Azul_Negro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595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5395595" cy="1658620"/>
            <wp:effectExtent l="0" t="0" r="0" b="0"/>
            <wp:docPr id="3" name="Imagen 5" descr="DXIXSP-Azul_Neg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5" descr="DXIXSP-Azul_Negr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595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5"/>
      <w:type w:val="nextPage"/>
      <w:pgSz w:w="11906" w:h="16838"/>
      <w:pgMar w:left="1701" w:right="1701" w:header="720" w:top="2835" w:footer="0" w:bottom="1418" w:gutter="0"/>
      <w:pgNumType w:fmt="decimal"/>
      <w:formProt w:val="false"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tabs>
        <w:tab w:val="center" w:pos="4252" w:leader="none"/>
        <w:tab w:val="left" w:pos="5927" w:leader="none"/>
        <w:tab w:val="right" w:pos="8504" w:leader="none"/>
      </w:tabs>
      <w:rPr/>
    </w:pPr>
    <w:r>
      <mc:AlternateContent>
        <mc:Choice Requires="wps">
          <w:drawing>
            <wp:anchor behindDoc="1" distT="0" distB="0" distL="114300" distR="114300" simplePos="0" locked="0" layoutInCell="1" allowOverlap="1" relativeHeight="13">
              <wp:simplePos x="0" y="0"/>
              <wp:positionH relativeFrom="page">
                <wp:posOffset>3246120</wp:posOffset>
              </wp:positionH>
              <wp:positionV relativeFrom="page">
                <wp:posOffset>533400</wp:posOffset>
              </wp:positionV>
              <wp:extent cx="1644650" cy="459105"/>
              <wp:effectExtent l="0" t="0" r="0" b="0"/>
              <wp:wrapNone/>
              <wp:docPr id="4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4120" cy="458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idodelmarco"/>
                            <w:rPr>
                              <w:rFonts w:cs="Arial"/>
                              <w:sz w:val="14"/>
                              <w:szCs w:val="14"/>
                              <w:lang w:val="pt-BR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4"/>
                              <w:szCs w:val="14"/>
                              <w:lang w:val="pt-BR"/>
                            </w:rPr>
                            <w:t>Edificio Administrativo San Lázaro</w:t>
                          </w:r>
                        </w:p>
                        <w:p>
                          <w:pPr>
                            <w:pStyle w:val="Contenidodelmarco"/>
                            <w:rPr>
                              <w:rFonts w:cs="Arial"/>
                              <w:sz w:val="14"/>
                              <w:szCs w:val="14"/>
                              <w:lang w:val="pt-BR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4"/>
                              <w:szCs w:val="14"/>
                              <w:lang w:val="pt-BR"/>
                            </w:rPr>
                            <w:t>15703 SANTIAGO DE COMPOSTELA</w:t>
                          </w:r>
                        </w:p>
                        <w:p>
                          <w:pPr>
                            <w:pStyle w:val="Contenidodelmarco"/>
                            <w:rPr>
                              <w:rFonts w:cs="Arial"/>
                              <w:spacing w:val="0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pacing w:val="0"/>
                              <w:sz w:val="14"/>
                              <w:szCs w:val="14"/>
                              <w:lang w:val="en-US"/>
                            </w:rPr>
                            <w:t>Teléfono: 881542930 - Fax: 881542970</w:t>
                          </w:r>
                        </w:p>
                        <w:p>
                          <w:pPr>
                            <w:pStyle w:val="Contenidodelmarco"/>
                            <w:rPr>
                              <w:rFonts w:cs="Arial"/>
                              <w:sz w:val="14"/>
                              <w:szCs w:val="14"/>
                              <w:lang w:val="pt-BR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pacing w:val="0"/>
                              <w:sz w:val="14"/>
                              <w:szCs w:val="14"/>
                              <w:lang w:val="en-US"/>
                            </w:rPr>
                            <w:t>www.sergas.es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stroked="f" style="position:absolute;margin-left:255.6pt;margin-top:42pt;width:129.4pt;height:36.05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idodelmarco"/>
                      <w:rPr>
                        <w:rFonts w:cs="Arial"/>
                        <w:sz w:val="14"/>
                        <w:szCs w:val="14"/>
                        <w:lang w:val="pt-BR"/>
                      </w:rPr>
                    </w:pPr>
                    <w:r>
                      <w:rPr>
                        <w:rFonts w:cs="Arial"/>
                        <w:color w:val="00000A"/>
                        <w:sz w:val="14"/>
                        <w:szCs w:val="14"/>
                        <w:lang w:val="pt-BR"/>
                      </w:rPr>
                      <w:t>Edificio Administrativo San Lázaro</w:t>
                    </w:r>
                  </w:p>
                  <w:p>
                    <w:pPr>
                      <w:pStyle w:val="Contenidodelmarco"/>
                      <w:rPr>
                        <w:rFonts w:cs="Arial"/>
                        <w:sz w:val="14"/>
                        <w:szCs w:val="14"/>
                        <w:lang w:val="pt-BR"/>
                      </w:rPr>
                    </w:pPr>
                    <w:r>
                      <w:rPr>
                        <w:rFonts w:cs="Arial"/>
                        <w:color w:val="00000A"/>
                        <w:sz w:val="14"/>
                        <w:szCs w:val="14"/>
                        <w:lang w:val="pt-BR"/>
                      </w:rPr>
                      <w:t>15703 SANTIAGO DE COMPOSTELA</w:t>
                    </w:r>
                  </w:p>
                  <w:p>
                    <w:pPr>
                      <w:pStyle w:val="Contenidodelmarco"/>
                      <w:rPr>
                        <w:rFonts w:cs="Arial"/>
                        <w:spacing w:val="0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cs="Arial"/>
                        <w:color w:val="00000A"/>
                        <w:spacing w:val="0"/>
                        <w:sz w:val="14"/>
                        <w:szCs w:val="14"/>
                        <w:lang w:val="en-US"/>
                      </w:rPr>
                      <w:t>Teléfono: 881542930 - Fax: 881542970</w:t>
                    </w:r>
                  </w:p>
                  <w:p>
                    <w:pPr>
                      <w:pStyle w:val="Contenidodelmarco"/>
                      <w:rPr>
                        <w:rFonts w:cs="Arial"/>
                        <w:sz w:val="14"/>
                        <w:szCs w:val="14"/>
                        <w:lang w:val="pt-BR"/>
                      </w:rPr>
                    </w:pPr>
                    <w:r>
                      <w:rPr>
                        <w:rFonts w:cs="Arial"/>
                        <w:color w:val="00000A"/>
                        <w:spacing w:val="0"/>
                        <w:sz w:val="14"/>
                        <w:szCs w:val="14"/>
                        <w:lang w:val="en-US"/>
                      </w:rPr>
                      <w:t>www.sergas.es</w:t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133350" distR="120015" simplePos="0" locked="0" layoutInCell="1" allowOverlap="1" relativeHeight="7">
          <wp:simplePos x="0" y="0"/>
          <wp:positionH relativeFrom="column">
            <wp:posOffset>-380365</wp:posOffset>
          </wp:positionH>
          <wp:positionV relativeFrom="paragraph">
            <wp:posOffset>93980</wp:posOffset>
          </wp:positionV>
          <wp:extent cx="1937385" cy="597535"/>
          <wp:effectExtent l="0" t="0" r="0" b="0"/>
          <wp:wrapSquare wrapText="bothSides"/>
          <wp:docPr id="6" name="Imagen 12" descr="DXIXSP-Azul_Neg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2" descr="DXIXSP-Azul_Negr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37385" cy="597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33350" distR="114300" simplePos="0" locked="0" layoutInCell="1" allowOverlap="1" relativeHeight="22">
          <wp:simplePos x="0" y="0"/>
          <wp:positionH relativeFrom="column">
            <wp:posOffset>4486275</wp:posOffset>
          </wp:positionH>
          <wp:positionV relativeFrom="paragraph">
            <wp:posOffset>85090</wp:posOffset>
          </wp:positionV>
          <wp:extent cx="1298575" cy="426720"/>
          <wp:effectExtent l="0" t="0" r="0" b="0"/>
          <wp:wrapSquare wrapText="bothSides"/>
          <wp:docPr id="7" name="Imagen 1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1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98575" cy="426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27"/>
  <w:embedSystemFonts/>
  <w:defaultTabStop w:val="708"/>
  <w:compat/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137f6d"/>
    <w:pPr>
      <w:widowControl/>
      <w:bidi w:val="0"/>
      <w:jc w:val="both"/>
    </w:pPr>
    <w:rPr>
      <w:rFonts w:ascii="Arial" w:hAnsi="Arial" w:eastAsia="Times New Roman" w:cs="Times New Roman"/>
      <w:color w:val="00000A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Unknown" w:customStyle="1">
    <w:name w:val="unknown"/>
    <w:basedOn w:val="DefaultParagraphFont"/>
    <w:qFormat/>
    <w:rsid w:val="005d2d52"/>
    <w:rPr>
      <w:color w:val="FF0000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color w:val="339966"/>
    </w:rPr>
  </w:style>
  <w:style w:type="character" w:styleId="ListLabel3">
    <w:name w:val="ListLabel 3"/>
    <w:qFormat/>
    <w:rPr>
      <w:rFonts w:ascii="Verdana" w:hAnsi="Verdana" w:cs="Courier New"/>
      <w:sz w:val="20"/>
    </w:rPr>
  </w:style>
  <w:style w:type="character" w:styleId="ListLabel4">
    <w:name w:val="ListLabel 4"/>
    <w:qFormat/>
    <w:rPr>
      <w:b/>
      <w:i w:val="false"/>
      <w:color w:val="00000A"/>
      <w:sz w:val="32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rFonts w:ascii="Verdana" w:hAnsi="Verdana" w:cs="Symbol"/>
      <w:sz w:val="20"/>
    </w:rPr>
  </w:style>
  <w:style w:type="character" w:styleId="ListLabel7">
    <w:name w:val="ListLabel 7"/>
    <w:qFormat/>
    <w:rPr>
      <w:rFonts w:ascii="Verdana" w:hAnsi="Verdana" w:cs="Courier New"/>
      <w:sz w:val="20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ascii="Verdana" w:hAnsi="Verdana" w:cs="Symbol"/>
      <w:sz w:val="20"/>
    </w:rPr>
  </w:style>
  <w:style w:type="character" w:styleId="ListLabel10">
    <w:name w:val="ListLabel 10"/>
    <w:qFormat/>
    <w:rPr>
      <w:rFonts w:ascii="Verdana" w:hAnsi="Verdana" w:cs="Courier New"/>
      <w:sz w:val="20"/>
    </w:rPr>
  </w:style>
  <w:style w:type="character" w:styleId="ListLabel11">
    <w:name w:val="ListLabel 11"/>
    <w:qFormat/>
    <w:rPr>
      <w:rFonts w:cs="Wingdings"/>
    </w:rPr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Mangal"/>
    </w:rPr>
  </w:style>
  <w:style w:type="paragraph" w:styleId="Leyenda">
    <w:name w:val="Ley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Encabezamiento">
    <w:name w:val="Encabezamiento"/>
    <w:basedOn w:val="Normal"/>
    <w:rsid w:val="00137f6d"/>
    <w:pPr>
      <w:tabs>
        <w:tab w:val="center" w:pos="4252" w:leader="none"/>
        <w:tab w:val="right" w:pos="8504" w:leader="none"/>
      </w:tabs>
    </w:pPr>
    <w:rPr/>
  </w:style>
  <w:style w:type="paragraph" w:styleId="Piedepgina">
    <w:name w:val="Pie de página"/>
    <w:basedOn w:val="Normal"/>
    <w:rsid w:val="00137f6d"/>
    <w:pPr>
      <w:tabs>
        <w:tab w:val="center" w:pos="4252" w:leader="none"/>
        <w:tab w:val="right" w:pos="8504" w:leader="none"/>
      </w:tabs>
    </w:pPr>
    <w:rPr/>
  </w:style>
  <w:style w:type="paragraph" w:styleId="ListParagraph">
    <w:name w:val="List Paragraph"/>
    <w:basedOn w:val="Normal"/>
    <w:uiPriority w:val="34"/>
    <w:qFormat/>
    <w:rsid w:val="00fd2650"/>
    <w:pPr>
      <w:spacing w:before="0" w:after="0"/>
      <w:ind w:left="720" w:hanging="0"/>
      <w:contextualSpacing/>
    </w:pPr>
    <w:rPr/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rsid w:val="0099334c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eader" Target="head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4.jpeg"/><Relationship Id="rId2" Type="http://schemas.openxmlformats.org/officeDocument/2006/relationships/image" Target="media/image5.pn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20946-F025-4334-A72D-66B12723C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LibreOffice/5.0.4.2$Windows_x86 LibreOffice_project/2b9802c1994aa0b7dc6079e128979269cf95bc78</Application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2012-02-08T07:58:00Z</dcterms:created>
  <dc:language>es-ES</dc:language>
  <dcterms:modified xsi:type="dcterms:W3CDTF">2016-01-28T08:43:32Z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